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B9D8" w14:textId="77777777" w:rsidR="00AA2A2F" w:rsidRDefault="00000000">
      <w:pPr>
        <w:spacing w:after="40"/>
        <w:jc w:val="center"/>
      </w:pPr>
      <w:r>
        <w:rPr>
          <w:b/>
          <w:bCs/>
          <w:sz w:val="26"/>
          <w:szCs w:val="26"/>
        </w:rPr>
        <w:t>Proposed PhD Project</w:t>
      </w:r>
    </w:p>
    <w:p w14:paraId="7FE362F7" w14:textId="77777777" w:rsidR="00AA2A2F" w:rsidRDefault="00000000">
      <w:pPr>
        <w:spacing w:after="120"/>
        <w:jc w:val="center"/>
      </w:pPr>
      <w:r>
        <w:rPr>
          <w:b/>
          <w:bCs/>
          <w:sz w:val="28"/>
          <w:szCs w:val="28"/>
        </w:rPr>
        <w:t>Astronomy for Development: An Impact Evaluation of IAU-OAD Funded Projects in Developing Countries</w:t>
      </w:r>
    </w:p>
    <w:p w14:paraId="51589338" w14:textId="77777777" w:rsidR="00AA2A2F" w:rsidRDefault="00000000">
      <w:pPr>
        <w:spacing w:after="30"/>
        <w:jc w:val="center"/>
      </w:pPr>
      <w:r>
        <w:t xml:space="preserve">Supervisors: Dr S. Msomi, Dr C. Takalana, Dr B. </w:t>
      </w:r>
      <w:proofErr w:type="spellStart"/>
      <w:r>
        <w:t>Muzid</w:t>
      </w:r>
      <w:proofErr w:type="spellEnd"/>
    </w:p>
    <w:p w14:paraId="4E149DFD" w14:textId="77777777" w:rsidR="00AA2A2F" w:rsidRDefault="00000000">
      <w:pPr>
        <w:spacing w:after="30"/>
        <w:jc w:val="center"/>
      </w:pPr>
      <w:r>
        <w:rPr>
          <w:i/>
          <w:iCs/>
        </w:rPr>
        <w:t>Host: South African Astronomical Observatory (SAAO) – IAU Office of Astronomy for Development (IAU-OAD)</w:t>
      </w:r>
    </w:p>
    <w:p w14:paraId="07FDDA2A" w14:textId="06925E32" w:rsidR="00AA2A2F" w:rsidRDefault="00C77E50">
      <w:pPr>
        <w:spacing w:after="220"/>
        <w:jc w:val="center"/>
      </w:pPr>
      <w:r>
        <w:rPr>
          <w:i/>
          <w:iCs/>
        </w:rPr>
        <w:t>The student will be expected to register at the University of KwaZulu-Natal.</w:t>
      </w:r>
    </w:p>
    <w:p w14:paraId="30A73C46" w14:textId="08C66BBB" w:rsidR="00AA2A2F" w:rsidRDefault="00000000">
      <w:pPr>
        <w:spacing w:after="160" w:line="264" w:lineRule="auto"/>
        <w:jc w:val="both"/>
      </w:pPr>
      <w:r>
        <w:rPr>
          <w:b/>
          <w:bCs/>
        </w:rPr>
        <w:t xml:space="preserve">Background:  </w:t>
      </w:r>
      <w:r>
        <w:t xml:space="preserve">Astronomy and space science (A&amp;SS), once seen as detached from everyday concerns, are increasingly </w:t>
      </w:r>
      <w:proofErr w:type="spellStart"/>
      <w:r>
        <w:t>recognised</w:t>
      </w:r>
      <w:proofErr w:type="spellEnd"/>
      <w:r>
        <w:t xml:space="preserve"> as tools for sustainable development in the Global South. The IAU Office of Astronomy for Development (IAU-OAD), working with partners such as the NRF, HSRC and DS</w:t>
      </w:r>
      <w:r w:rsidR="00124352">
        <w:t>T</w:t>
      </w:r>
      <w:r>
        <w:t xml:space="preserve">I, funds flagship projects that </w:t>
      </w:r>
      <w:r w:rsidR="00124352">
        <w:t>leverag</w:t>
      </w:r>
      <w:r>
        <w:t xml:space="preserve">e astronomy for education, skills development, community engagement and economic empowerment. Africa is especially well placed for this, combining vast dark-sky resources with immense human potential: its skies generate both inspiration (sparking learning and curiosity) and data (a gateway to knowledge and economic value), supported by facilities such as </w:t>
      </w:r>
      <w:r w:rsidR="00124352">
        <w:t xml:space="preserve">SALT, </w:t>
      </w:r>
      <w:proofErr w:type="spellStart"/>
      <w:r>
        <w:t>MeerKAT</w:t>
      </w:r>
      <w:proofErr w:type="spellEnd"/>
      <w:r>
        <w:t>, HESS</w:t>
      </w:r>
      <w:r w:rsidR="00124352">
        <w:t>, Entoto</w:t>
      </w:r>
      <w:r>
        <w:t xml:space="preserve"> and </w:t>
      </w:r>
      <w:proofErr w:type="spellStart"/>
      <w:r>
        <w:t>Oukaïmeden</w:t>
      </w:r>
      <w:proofErr w:type="spellEnd"/>
      <w:r>
        <w:t xml:space="preserve">, and by capacity-building </w:t>
      </w:r>
      <w:proofErr w:type="spellStart"/>
      <w:r>
        <w:t>programmes</w:t>
      </w:r>
      <w:proofErr w:type="spellEnd"/>
      <w:r>
        <w:t xml:space="preserve"> like DARA</w:t>
      </w:r>
      <w:r w:rsidR="00124352">
        <w:t>, NASSP, SARAO-HCD and others</w:t>
      </w:r>
      <w:r>
        <w:t>. Despite this momentum, the social and economic impact of astronomy</w:t>
      </w:r>
      <w:r w:rsidR="00124352">
        <w:t xml:space="preserve"> </w:t>
      </w:r>
      <w:r>
        <w:t>for</w:t>
      </w:r>
      <w:r w:rsidR="00124352">
        <w:t xml:space="preserve"> </w:t>
      </w:r>
      <w:r>
        <w:t>development projects remains poorly documented and quantified, and the broader science</w:t>
      </w:r>
      <w:r w:rsidR="00124352">
        <w:t xml:space="preserve"> </w:t>
      </w:r>
      <w:r>
        <w:t>for</w:t>
      </w:r>
      <w:r w:rsidR="00124352">
        <w:t xml:space="preserve"> </w:t>
      </w:r>
      <w:r>
        <w:t>development field lacks rigorous empirical evidence on how such interventions drive human capital formation, income generation and social inclusion.</w:t>
      </w:r>
    </w:p>
    <w:p w14:paraId="1AC01A0E" w14:textId="05DC907D" w:rsidR="00AA2A2F" w:rsidRDefault="00000000">
      <w:pPr>
        <w:spacing w:after="160" w:line="264" w:lineRule="auto"/>
        <w:jc w:val="both"/>
      </w:pPr>
      <w:r>
        <w:rPr>
          <w:b/>
          <w:bCs/>
        </w:rPr>
        <w:t xml:space="preserve">Project description:  </w:t>
      </w:r>
      <w:r>
        <w:t>This project will deliver the first comprehensive multi-country economic evaluation of IAU-OAD flagship projects, drawing on OAD monitoring</w:t>
      </w:r>
      <w:r w:rsidR="00124352">
        <w:t xml:space="preserve"> </w:t>
      </w:r>
      <w:r>
        <w:t>and</w:t>
      </w:r>
      <w:r w:rsidR="00124352">
        <w:t xml:space="preserve"> </w:t>
      </w:r>
      <w:r>
        <w:t>evaluation reports, survey data, feedback forms and qualitative interviews. Using an applied-economics lens and a mixed-methods design, it pursues three objectives: (1) evaluate the cost-effectiveness and efficiency of flagship projects and identify success factors and barriers to scaling them globally; (2) assess their socioeconomic impact across countries and regions, focusing on education, skills transfer, employment, gender empowerment and local economic linkages; and (3) investigate the long-term sustainability and economic spillover effects across sectors such as tourism, hospitality, education and services. The work combines case-study analysis, cost-effectiveness analysis, social return on investment, econometric (regression) modelling</w:t>
      </w:r>
      <w:r w:rsidR="00124352">
        <w:t>,</w:t>
      </w:r>
      <w:r>
        <w:t xml:space="preserve"> and thematic analysis, with cross-country comparison</w:t>
      </w:r>
      <w:r w:rsidR="00124352">
        <w:t>s</w:t>
      </w:r>
      <w:r>
        <w:t>, cluster analysis</w:t>
      </w:r>
      <w:r w:rsidR="00124352">
        <w:t>,</w:t>
      </w:r>
      <w:r>
        <w:t xml:space="preserve"> and triangulation across sources. It is framed by human capital, endogenous growth, inclusive growth, capabilities and social capital theories, and aims to build an evidence base that informs policymakers, donors and development practitioners on the strategic potential of astronomy and other non-traditional sectors for inclusive, sustainable growth.</w:t>
      </w:r>
    </w:p>
    <w:p w14:paraId="56B44FA5" w14:textId="46D75A74" w:rsidR="00AA2A2F" w:rsidRDefault="00000000">
      <w:pPr>
        <w:spacing w:after="160" w:line="264" w:lineRule="auto"/>
        <w:jc w:val="both"/>
      </w:pPr>
      <w:r>
        <w:rPr>
          <w:b/>
          <w:bCs/>
        </w:rPr>
        <w:t xml:space="preserve">Timeline: </w:t>
      </w:r>
      <w:r>
        <w:t xml:space="preserve">The project runs over </w:t>
      </w:r>
      <w:r w:rsidR="00AC0280">
        <w:t>36</w:t>
      </w:r>
      <w:r>
        <w:t xml:space="preserve"> months, from setup and literature review through data acquisition, analysis, writing</w:t>
      </w:r>
      <w:r w:rsidR="00124352">
        <w:t>,</w:t>
      </w:r>
      <w:r>
        <w:t xml:space="preserve"> and dissemination (</w:t>
      </w:r>
      <w:proofErr w:type="spellStart"/>
      <w:r>
        <w:t>summarised</w:t>
      </w:r>
      <w:proofErr w:type="spellEnd"/>
      <w:r>
        <w:t xml:space="preserve"> below). The timeline is subject to change.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300"/>
        <w:gridCol w:w="5660"/>
      </w:tblGrid>
      <w:tr w:rsidR="00AC0280" w14:paraId="61512560" w14:textId="77777777" w:rsidTr="00B03D6B">
        <w:tblPrEx>
          <w:tblCellMar>
            <w:top w:w="0" w:type="dxa"/>
            <w:bottom w:w="0" w:type="dxa"/>
          </w:tblCellMar>
        </w:tblPrEx>
        <w:trPr>
          <w:tblHeader/>
        </w:trPr>
        <w:tc>
          <w:tcPr>
            <w:tcW w:w="24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10" w:type="dxa"/>
              <w:bottom w:w="70" w:type="dxa"/>
              <w:right w:w="110" w:type="dxa"/>
            </w:tcMar>
            <w:vAlign w:val="center"/>
          </w:tcPr>
          <w:p w14:paraId="53351F27" w14:textId="77777777" w:rsidR="00AC0280" w:rsidRDefault="00AC0280" w:rsidP="00B03D6B">
            <w:pPr>
              <w:spacing w:line="252" w:lineRule="auto"/>
            </w:pPr>
            <w:r>
              <w:rPr>
                <w:b/>
                <w:bCs/>
              </w:rPr>
              <w:t>Phase</w:t>
            </w:r>
          </w:p>
        </w:tc>
        <w:tc>
          <w:tcPr>
            <w:tcW w:w="13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10" w:type="dxa"/>
              <w:bottom w:w="70" w:type="dxa"/>
              <w:right w:w="110" w:type="dxa"/>
            </w:tcMar>
            <w:vAlign w:val="center"/>
          </w:tcPr>
          <w:p w14:paraId="37F9099D" w14:textId="77777777" w:rsidR="00AC0280" w:rsidRDefault="00AC0280" w:rsidP="00B03D6B">
            <w:pPr>
              <w:spacing w:line="252" w:lineRule="auto"/>
            </w:pPr>
            <w:r>
              <w:rPr>
                <w:b/>
                <w:bCs/>
              </w:rPr>
              <w:t>Duration</w:t>
            </w:r>
          </w:p>
        </w:tc>
        <w:tc>
          <w:tcPr>
            <w:tcW w:w="56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10" w:type="dxa"/>
              <w:bottom w:w="70" w:type="dxa"/>
              <w:right w:w="110" w:type="dxa"/>
            </w:tcMar>
            <w:vAlign w:val="center"/>
          </w:tcPr>
          <w:p w14:paraId="67F29BD5" w14:textId="77777777" w:rsidR="00AC0280" w:rsidRDefault="00AC0280" w:rsidP="00B03D6B">
            <w:pPr>
              <w:spacing w:line="252" w:lineRule="auto"/>
            </w:pPr>
            <w:r>
              <w:rPr>
                <w:b/>
                <w:bCs/>
              </w:rPr>
              <w:t>Key activities and outputs</w:t>
            </w:r>
          </w:p>
        </w:tc>
      </w:tr>
      <w:tr w:rsidR="00AC0280" w14:paraId="03890B62" w14:textId="77777777" w:rsidTr="00B03D6B">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0113BC67" w14:textId="77777777" w:rsidR="00AC0280" w:rsidRDefault="00AC0280" w:rsidP="00B03D6B">
            <w:pPr>
              <w:spacing w:line="252" w:lineRule="auto"/>
            </w:pPr>
            <w:r>
              <w:t>1. Setup &amp; literature review</w:t>
            </w:r>
          </w:p>
        </w:tc>
        <w:tc>
          <w:tcPr>
            <w:tcW w:w="13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D2F7DCD" w14:textId="77777777" w:rsidR="00AC0280" w:rsidRDefault="00AC0280" w:rsidP="00B03D6B">
            <w:pPr>
              <w:spacing w:line="252" w:lineRule="auto"/>
            </w:pPr>
            <w:r>
              <w:t>Months 1–4</w:t>
            </w:r>
          </w:p>
        </w:tc>
        <w:tc>
          <w:tcPr>
            <w:tcW w:w="56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51FA1F21" w14:textId="77777777" w:rsidR="00AC0280" w:rsidRDefault="00AC0280" w:rsidP="00B03D6B">
            <w:pPr>
              <w:spacing w:line="252" w:lineRule="auto"/>
            </w:pPr>
            <w:r>
              <w:t>Literature review; refine objectives, framework and methodology; ethics application. Outputs: research design document, ethics clearance.</w:t>
            </w:r>
          </w:p>
        </w:tc>
      </w:tr>
      <w:tr w:rsidR="00AC0280" w14:paraId="1BCA02CE" w14:textId="77777777" w:rsidTr="00B03D6B">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B8672A3" w14:textId="77777777" w:rsidR="00AC0280" w:rsidRDefault="00AC0280" w:rsidP="00B03D6B">
            <w:pPr>
              <w:spacing w:line="252" w:lineRule="auto"/>
            </w:pPr>
            <w:r>
              <w:lastRenderedPageBreak/>
              <w:t>2. Data acquisition &amp; familiarization</w:t>
            </w:r>
          </w:p>
        </w:tc>
        <w:tc>
          <w:tcPr>
            <w:tcW w:w="13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FE8AE5C" w14:textId="77777777" w:rsidR="00AC0280" w:rsidRDefault="00AC0280" w:rsidP="00B03D6B">
            <w:pPr>
              <w:spacing w:line="252" w:lineRule="auto"/>
            </w:pPr>
            <w:r>
              <w:t>Months 5–9</w:t>
            </w:r>
          </w:p>
        </w:tc>
        <w:tc>
          <w:tcPr>
            <w:tcW w:w="56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0C75BC6B" w14:textId="77777777" w:rsidR="00AC0280" w:rsidRDefault="00AC0280" w:rsidP="00B03D6B">
            <w:pPr>
              <w:spacing w:line="252" w:lineRule="auto"/>
            </w:pPr>
            <w:r>
              <w:t>Build coding framework; clean quantitative data; prepare analysis tools. Output: data structure and coding guide.</w:t>
            </w:r>
          </w:p>
        </w:tc>
      </w:tr>
      <w:tr w:rsidR="00AC0280" w14:paraId="3EC2AD0D" w14:textId="77777777" w:rsidTr="00B03D6B">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FDA5993" w14:textId="77777777" w:rsidR="00AC0280" w:rsidRDefault="00AC0280" w:rsidP="00B03D6B">
            <w:pPr>
              <w:spacing w:line="252" w:lineRule="auto"/>
            </w:pPr>
            <w:r>
              <w:t>3. Initial analysis &amp; case selection</w:t>
            </w:r>
          </w:p>
        </w:tc>
        <w:tc>
          <w:tcPr>
            <w:tcW w:w="13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6AB33D7" w14:textId="77777777" w:rsidR="00AC0280" w:rsidRDefault="00AC0280" w:rsidP="00B03D6B">
            <w:pPr>
              <w:spacing w:line="252" w:lineRule="auto"/>
            </w:pPr>
            <w:r>
              <w:t>Months 10–13</w:t>
            </w:r>
          </w:p>
        </w:tc>
        <w:tc>
          <w:tcPr>
            <w:tcW w:w="56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50F0BE55" w14:textId="77777777" w:rsidR="00AC0280" w:rsidRDefault="00AC0280" w:rsidP="00B03D6B">
            <w:pPr>
              <w:spacing w:line="252" w:lineRule="auto"/>
            </w:pPr>
            <w:r>
              <w:t>Exploratory analysis; select flagship case studies; descriptive reporting. Outputs: case selection, statistical tables, chapter outline.</w:t>
            </w:r>
          </w:p>
        </w:tc>
      </w:tr>
      <w:tr w:rsidR="00AC0280" w14:paraId="023BAF5D" w14:textId="77777777" w:rsidTr="00B03D6B">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4D75B452" w14:textId="77777777" w:rsidR="00AC0280" w:rsidRDefault="00AC0280" w:rsidP="00B03D6B">
            <w:pPr>
              <w:spacing w:line="252" w:lineRule="auto"/>
            </w:pPr>
            <w:r>
              <w:t>4. Core quantitative &amp; qualitative analysis</w:t>
            </w:r>
          </w:p>
        </w:tc>
        <w:tc>
          <w:tcPr>
            <w:tcW w:w="13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7939D82" w14:textId="77777777" w:rsidR="00AC0280" w:rsidRDefault="00AC0280" w:rsidP="00B03D6B">
            <w:pPr>
              <w:spacing w:line="252" w:lineRule="auto"/>
            </w:pPr>
            <w:r>
              <w:t>Months 14–22</w:t>
            </w:r>
          </w:p>
        </w:tc>
        <w:tc>
          <w:tcPr>
            <w:tcW w:w="56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50E5766" w14:textId="77777777" w:rsidR="00AC0280" w:rsidRDefault="00AC0280" w:rsidP="00B03D6B">
            <w:pPr>
              <w:spacing w:line="252" w:lineRule="auto"/>
            </w:pPr>
            <w:r>
              <w:t>Regression and applied-economics modelling; integrate case-study findings. Outputs: comparative results, case memos, presentations.</w:t>
            </w:r>
          </w:p>
        </w:tc>
      </w:tr>
      <w:tr w:rsidR="00AC0280" w14:paraId="2130BC5E" w14:textId="77777777" w:rsidTr="00B03D6B">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46C324F4" w14:textId="77777777" w:rsidR="00AC0280" w:rsidRDefault="00AC0280" w:rsidP="00B03D6B">
            <w:pPr>
              <w:spacing w:line="252" w:lineRule="auto"/>
            </w:pPr>
            <w:r>
              <w:t>5. Writing &amp; drafting</w:t>
            </w:r>
          </w:p>
        </w:tc>
        <w:tc>
          <w:tcPr>
            <w:tcW w:w="13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476D77E3" w14:textId="77777777" w:rsidR="00AC0280" w:rsidRDefault="00AC0280" w:rsidP="00B03D6B">
            <w:pPr>
              <w:spacing w:line="252" w:lineRule="auto"/>
            </w:pPr>
            <w:r>
              <w:t>Months 23–27</w:t>
            </w:r>
          </w:p>
        </w:tc>
        <w:tc>
          <w:tcPr>
            <w:tcW w:w="56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4D9D28BD" w14:textId="77777777" w:rsidR="00AC0280" w:rsidRDefault="00AC0280" w:rsidP="00B03D6B">
            <w:pPr>
              <w:spacing w:line="252" w:lineRule="auto"/>
            </w:pPr>
            <w:r>
              <w:t>Draft core thesis chapters; submit journal articles; supervisor feedback. Outputs: draft chapters, articles submitted.</w:t>
            </w:r>
          </w:p>
        </w:tc>
      </w:tr>
      <w:tr w:rsidR="00AC0280" w14:paraId="59AF80F1" w14:textId="77777777" w:rsidTr="00B03D6B">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65B73697" w14:textId="77777777" w:rsidR="00AC0280" w:rsidRDefault="00AC0280" w:rsidP="00B03D6B">
            <w:pPr>
              <w:spacing w:line="252" w:lineRule="auto"/>
            </w:pPr>
            <w:r>
              <w:t>6. Review &amp; revision</w:t>
            </w:r>
          </w:p>
        </w:tc>
        <w:tc>
          <w:tcPr>
            <w:tcW w:w="13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40B633E5" w14:textId="77777777" w:rsidR="00AC0280" w:rsidRDefault="00AC0280" w:rsidP="00B03D6B">
            <w:pPr>
              <w:spacing w:line="252" w:lineRule="auto"/>
            </w:pPr>
            <w:r>
              <w:t>Months 28–31</w:t>
            </w:r>
          </w:p>
        </w:tc>
        <w:tc>
          <w:tcPr>
            <w:tcW w:w="56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8F1A764" w14:textId="77777777" w:rsidR="00AC0280" w:rsidRDefault="00AC0280" w:rsidP="00B03D6B">
            <w:pPr>
              <w:spacing w:line="252" w:lineRule="auto"/>
            </w:pPr>
            <w:r>
              <w:t xml:space="preserve">Revise drafts; follow-up analysis; refine </w:t>
            </w:r>
            <w:proofErr w:type="spellStart"/>
            <w:r>
              <w:t>visualisations</w:t>
            </w:r>
            <w:proofErr w:type="spellEnd"/>
            <w:r>
              <w:t>; begin executive summary. Output: revised chapters.</w:t>
            </w:r>
          </w:p>
        </w:tc>
      </w:tr>
      <w:tr w:rsidR="00AC0280" w14:paraId="249289B3" w14:textId="77777777" w:rsidTr="00B03D6B">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CF280AE" w14:textId="77777777" w:rsidR="00AC0280" w:rsidRDefault="00AC0280" w:rsidP="00B03D6B">
            <w:pPr>
              <w:spacing w:line="252" w:lineRule="auto"/>
            </w:pPr>
            <w:r>
              <w:t>7. Finalization &amp; dissemination</w:t>
            </w:r>
          </w:p>
        </w:tc>
        <w:tc>
          <w:tcPr>
            <w:tcW w:w="130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3E3F78F7" w14:textId="77777777" w:rsidR="00AC0280" w:rsidRDefault="00AC0280" w:rsidP="00B03D6B">
            <w:pPr>
              <w:spacing w:line="252" w:lineRule="auto"/>
            </w:pPr>
            <w:r>
              <w:t>Months 32–36</w:t>
            </w:r>
          </w:p>
        </w:tc>
        <w:tc>
          <w:tcPr>
            <w:tcW w:w="5660" w:type="dxa"/>
            <w:tcBorders>
              <w:top w:val="single" w:sz="1" w:space="0" w:color="BBBBBB"/>
              <w:left w:val="single" w:sz="1" w:space="0" w:color="BBBBBB"/>
              <w:bottom w:val="single" w:sz="1" w:space="0" w:color="BBBBBB"/>
              <w:right w:val="single" w:sz="1" w:space="0" w:color="BBBBBB"/>
            </w:tcBorders>
            <w:tcMar>
              <w:top w:w="70" w:type="dxa"/>
              <w:left w:w="110" w:type="dxa"/>
              <w:bottom w:w="70" w:type="dxa"/>
              <w:right w:w="110" w:type="dxa"/>
            </w:tcMar>
            <w:vAlign w:val="center"/>
          </w:tcPr>
          <w:p w14:paraId="241068D5" w14:textId="77777777" w:rsidR="00AC0280" w:rsidRDefault="00AC0280" w:rsidP="00B03D6B">
            <w:pPr>
              <w:spacing w:line="252" w:lineRule="auto"/>
            </w:pPr>
            <w:r>
              <w:t>Final edits and formatting; disseminate to OAD; conference participation. Outputs: final thesis, presentation/publication.</w:t>
            </w:r>
          </w:p>
        </w:tc>
      </w:tr>
    </w:tbl>
    <w:p w14:paraId="1C99CC08" w14:textId="77777777" w:rsidR="00AC0280" w:rsidRDefault="00AC0280">
      <w:pPr>
        <w:spacing w:after="160" w:line="264" w:lineRule="auto"/>
        <w:jc w:val="both"/>
      </w:pPr>
    </w:p>
    <w:p w14:paraId="0CEE973D" w14:textId="3287BB6B" w:rsidR="00AA2A2F" w:rsidRDefault="00000000">
      <w:pPr>
        <w:spacing w:before="60" w:after="160" w:line="264" w:lineRule="auto"/>
        <w:jc w:val="both"/>
      </w:pPr>
      <w:r>
        <w:rPr>
          <w:b/>
          <w:bCs/>
        </w:rPr>
        <w:t xml:space="preserve">Significance:  </w:t>
      </w:r>
      <w:r>
        <w:t>By quantifying the developmental dividends of astronomy, this study broadens the development-policy toolkit and provides theoretical and practical guidance on how science</w:t>
      </w:r>
      <w:r w:rsidR="00124352">
        <w:t>-</w:t>
      </w:r>
      <w:r>
        <w:t>driven, non-traditional sectors can foster inclusive and sustainable economic growth.</w:t>
      </w:r>
    </w:p>
    <w:p w14:paraId="382CB0B0" w14:textId="20425EAE" w:rsidR="00AA2A2F" w:rsidRDefault="00000000">
      <w:pPr>
        <w:spacing w:after="160" w:line="264" w:lineRule="auto"/>
        <w:jc w:val="both"/>
      </w:pPr>
      <w:r>
        <w:rPr>
          <w:b/>
          <w:bCs/>
        </w:rPr>
        <w:t xml:space="preserve">Requirements:  </w:t>
      </w:r>
      <w:r>
        <w:t>An</w:t>
      </w:r>
      <w:r w:rsidR="00303071">
        <w:t xml:space="preserve"> MSc/MCom</w:t>
      </w:r>
      <w:r>
        <w:t xml:space="preserve"> background and interest in development economics and impact evaluation; competence in quantitative and qualitative methods; and a desire to engage with astronomy-for-development data and policy.</w:t>
      </w:r>
    </w:p>
    <w:sectPr w:rsidR="00AA2A2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193"/>
    <w:multiLevelType w:val="hybridMultilevel"/>
    <w:tmpl w:val="8EEA3232"/>
    <w:lvl w:ilvl="0" w:tplc="F2345280">
      <w:start w:val="1"/>
      <w:numFmt w:val="bullet"/>
      <w:lvlText w:val="●"/>
      <w:lvlJc w:val="left"/>
      <w:pPr>
        <w:ind w:left="720" w:hanging="360"/>
      </w:pPr>
    </w:lvl>
    <w:lvl w:ilvl="1" w:tplc="884E7F04">
      <w:start w:val="1"/>
      <w:numFmt w:val="bullet"/>
      <w:lvlText w:val="○"/>
      <w:lvlJc w:val="left"/>
      <w:pPr>
        <w:ind w:left="1440" w:hanging="360"/>
      </w:pPr>
    </w:lvl>
    <w:lvl w:ilvl="2" w:tplc="36F834A8">
      <w:start w:val="1"/>
      <w:numFmt w:val="bullet"/>
      <w:lvlText w:val="■"/>
      <w:lvlJc w:val="left"/>
      <w:pPr>
        <w:ind w:left="2160" w:hanging="360"/>
      </w:pPr>
    </w:lvl>
    <w:lvl w:ilvl="3" w:tplc="88162C52">
      <w:start w:val="1"/>
      <w:numFmt w:val="bullet"/>
      <w:lvlText w:val="●"/>
      <w:lvlJc w:val="left"/>
      <w:pPr>
        <w:ind w:left="2880" w:hanging="360"/>
      </w:pPr>
    </w:lvl>
    <w:lvl w:ilvl="4" w:tplc="C49C1E5E">
      <w:start w:val="1"/>
      <w:numFmt w:val="bullet"/>
      <w:lvlText w:val="○"/>
      <w:lvlJc w:val="left"/>
      <w:pPr>
        <w:ind w:left="3600" w:hanging="360"/>
      </w:pPr>
    </w:lvl>
    <w:lvl w:ilvl="5" w:tplc="657EEA42">
      <w:start w:val="1"/>
      <w:numFmt w:val="bullet"/>
      <w:lvlText w:val="■"/>
      <w:lvlJc w:val="left"/>
      <w:pPr>
        <w:ind w:left="4320" w:hanging="360"/>
      </w:pPr>
    </w:lvl>
    <w:lvl w:ilvl="6" w:tplc="8076B5A4">
      <w:start w:val="1"/>
      <w:numFmt w:val="bullet"/>
      <w:lvlText w:val="●"/>
      <w:lvlJc w:val="left"/>
      <w:pPr>
        <w:ind w:left="5040" w:hanging="360"/>
      </w:pPr>
    </w:lvl>
    <w:lvl w:ilvl="7" w:tplc="FC8E9D3E">
      <w:start w:val="1"/>
      <w:numFmt w:val="bullet"/>
      <w:lvlText w:val="●"/>
      <w:lvlJc w:val="left"/>
      <w:pPr>
        <w:ind w:left="5760" w:hanging="360"/>
      </w:pPr>
    </w:lvl>
    <w:lvl w:ilvl="8" w:tplc="EE2CC8A0">
      <w:start w:val="1"/>
      <w:numFmt w:val="bullet"/>
      <w:lvlText w:val="●"/>
      <w:lvlJc w:val="left"/>
      <w:pPr>
        <w:ind w:left="6480" w:hanging="360"/>
      </w:pPr>
    </w:lvl>
  </w:abstractNum>
  <w:num w:numId="1" w16cid:durableId="1393580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2F"/>
    <w:rsid w:val="000D7326"/>
    <w:rsid w:val="00124352"/>
    <w:rsid w:val="00303071"/>
    <w:rsid w:val="00AA2A2F"/>
    <w:rsid w:val="00AC0280"/>
    <w:rsid w:val="00C7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BDB2E"/>
  <w15:docId w15:val="{6177F192-D51B-CE4C-8FC0-222F2BF4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Takalana, CM, Dr [takalana@sun.ac.za]</cp:lastModifiedBy>
  <cp:revision>7</cp:revision>
  <dcterms:created xsi:type="dcterms:W3CDTF">2026-05-22T10:03:00Z</dcterms:created>
  <dcterms:modified xsi:type="dcterms:W3CDTF">2026-05-22T15:16:00Z</dcterms:modified>
</cp:coreProperties>
</file>